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r>
        <w:rPr>
          <w:rFonts w:ascii="Times New Roman" w:hAnsi="Times New Roman" w:cs="Times New Roman"/>
          <w:sz w:val="24"/>
          <w:szCs w:val="24"/>
        </w:rPr>
        <w:t>Learning Environments</w:t>
      </w:r>
    </w:p>
    <w:p w:rsidR="00FB49ED" w:rsidRDefault="00FB49ED" w:rsidP="00B74BC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B49ED" w:rsidRDefault="00FB49ED" w:rsidP="00B74B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B49ED" w:rsidRDefault="00FB49ED" w:rsidP="00B74BC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B49ED" w:rsidRDefault="00FB49ED" w:rsidP="00B74BC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FB49ED" w:rsidRDefault="00FB49ED" w:rsidP="00B74BCD">
      <w:pPr>
        <w:spacing w:line="480" w:lineRule="auto"/>
        <w:jc w:val="center"/>
        <w:rPr>
          <w:rFonts w:ascii="Times New Roman" w:hAnsi="Times New Roman" w:cs="Times New Roman"/>
          <w:sz w:val="24"/>
          <w:szCs w:val="24"/>
        </w:rPr>
      </w:pPr>
    </w:p>
    <w:p w:rsidR="00556F77" w:rsidRDefault="00A34A3E" w:rsidP="00B74BCD">
      <w:pPr>
        <w:spacing w:line="480" w:lineRule="auto"/>
        <w:jc w:val="center"/>
        <w:rPr>
          <w:rFonts w:ascii="Times New Roman" w:hAnsi="Times New Roman" w:cs="Times New Roman"/>
          <w:sz w:val="24"/>
          <w:szCs w:val="24"/>
        </w:rPr>
      </w:pPr>
      <w:r w:rsidRPr="00A34A3E">
        <w:rPr>
          <w:rFonts w:ascii="Times New Roman" w:hAnsi="Times New Roman" w:cs="Times New Roman"/>
          <w:sz w:val="24"/>
          <w:szCs w:val="24"/>
        </w:rPr>
        <w:lastRenderedPageBreak/>
        <w:t>LEARNING ENVIRONMENTS</w:t>
      </w:r>
    </w:p>
    <w:p w:rsidR="00A34A3E" w:rsidRDefault="00A34A3E" w:rsidP="00A34A3E">
      <w:pPr>
        <w:spacing w:line="480" w:lineRule="auto"/>
        <w:rPr>
          <w:rFonts w:ascii="Times New Roman" w:hAnsi="Times New Roman" w:cs="Times New Roman"/>
          <w:b/>
          <w:sz w:val="24"/>
          <w:szCs w:val="24"/>
        </w:rPr>
      </w:pPr>
      <w:r w:rsidRPr="00A34A3E">
        <w:rPr>
          <w:rFonts w:ascii="Times New Roman" w:hAnsi="Times New Roman" w:cs="Times New Roman"/>
          <w:b/>
          <w:sz w:val="24"/>
          <w:szCs w:val="24"/>
        </w:rPr>
        <w:t>Introduction</w:t>
      </w:r>
    </w:p>
    <w:p w:rsidR="00A34A3E" w:rsidRDefault="00A34A3E" w:rsidP="00B74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Learning environments can </w:t>
      </w:r>
      <w:r w:rsidR="00C2261A">
        <w:rPr>
          <w:rFonts w:ascii="Times New Roman" w:hAnsi="Times New Roman" w:cs="Times New Roman"/>
          <w:sz w:val="24"/>
          <w:szCs w:val="24"/>
        </w:rPr>
        <w:t>b</w:t>
      </w:r>
      <w:r w:rsidRPr="00C2261A">
        <w:rPr>
          <w:rFonts w:ascii="Times New Roman" w:hAnsi="Times New Roman" w:cs="Times New Roman"/>
          <w:noProof/>
          <w:sz w:val="24"/>
          <w:szCs w:val="24"/>
        </w:rPr>
        <w:t>e</w:t>
      </w:r>
      <w:r>
        <w:rPr>
          <w:rFonts w:ascii="Times New Roman" w:hAnsi="Times New Roman" w:cs="Times New Roman"/>
          <w:sz w:val="24"/>
          <w:szCs w:val="24"/>
        </w:rPr>
        <w:t xml:space="preserve"> </w:t>
      </w:r>
      <w:r w:rsidRPr="00C2261A">
        <w:rPr>
          <w:rFonts w:ascii="Times New Roman" w:hAnsi="Times New Roman" w:cs="Times New Roman"/>
          <w:noProof/>
          <w:sz w:val="24"/>
          <w:szCs w:val="24"/>
        </w:rPr>
        <w:t>describe</w:t>
      </w:r>
      <w:r w:rsidR="00C2261A" w:rsidRPr="00C2261A">
        <w:rPr>
          <w:rFonts w:ascii="Times New Roman" w:hAnsi="Times New Roman" w:cs="Times New Roman"/>
          <w:noProof/>
          <w:sz w:val="24"/>
          <w:szCs w:val="24"/>
        </w:rPr>
        <w:t>d</w:t>
      </w:r>
      <w:r>
        <w:rPr>
          <w:rFonts w:ascii="Times New Roman" w:hAnsi="Times New Roman" w:cs="Times New Roman"/>
          <w:sz w:val="24"/>
          <w:szCs w:val="24"/>
        </w:rPr>
        <w:t xml:space="preserve"> </w:t>
      </w:r>
      <w:r w:rsidRPr="00C2261A">
        <w:rPr>
          <w:rFonts w:ascii="Times New Roman" w:hAnsi="Times New Roman" w:cs="Times New Roman"/>
          <w:noProof/>
          <w:sz w:val="24"/>
          <w:szCs w:val="24"/>
        </w:rPr>
        <w:t>as</w:t>
      </w:r>
      <w:r>
        <w:rPr>
          <w:rFonts w:ascii="Times New Roman" w:hAnsi="Times New Roman" w:cs="Times New Roman"/>
          <w:sz w:val="24"/>
          <w:szCs w:val="24"/>
        </w:rPr>
        <w:t xml:space="preserve"> the diverse cultures, contexts, and physical locations t</w:t>
      </w:r>
      <w:r w:rsidR="00FB49ED">
        <w:rPr>
          <w:rFonts w:ascii="Times New Roman" w:hAnsi="Times New Roman" w:cs="Times New Roman"/>
          <w:sz w:val="24"/>
          <w:szCs w:val="24"/>
        </w:rPr>
        <w:t xml:space="preserve">hrough which students can study (Baines, </w:t>
      </w:r>
      <w:r w:rsidR="00FB49ED" w:rsidRPr="00FB49ED">
        <w:rPr>
          <w:rFonts w:ascii="Times New Roman" w:hAnsi="Times New Roman" w:cs="Times New Roman"/>
          <w:sz w:val="24"/>
          <w:szCs w:val="24"/>
        </w:rPr>
        <w:t xml:space="preserve">2007). </w:t>
      </w:r>
      <w:r>
        <w:rPr>
          <w:rFonts w:ascii="Times New Roman" w:hAnsi="Times New Roman" w:cs="Times New Roman"/>
          <w:sz w:val="24"/>
          <w:szCs w:val="24"/>
        </w:rPr>
        <w:t xml:space="preserve"> Since students can study in various environments, like outdoor and out-of-school settings, the term “learning environment” is mostly applied as a more preferred or accurate classroom alternative, that is more limited to the traditional connotations- for example, a room arranged with desks’ rows and a chalkboard. Also, a learning environment involves the culture of a class or school- its presiding characteristics and ethos, including </w:t>
      </w:r>
      <w:r w:rsidR="00964914">
        <w:rPr>
          <w:rFonts w:ascii="Times New Roman" w:hAnsi="Times New Roman" w:cs="Times New Roman"/>
          <w:sz w:val="24"/>
          <w:szCs w:val="24"/>
        </w:rPr>
        <w:t>how students treat one another and interact within themselves- as well as the manner through which teachers or instructors organize an educational context in facilitating learning. For instance, such an educational context can be set through conducting classes related to specific topics like the natural ecosystems, fitting classroom walls with learning elements like charts, arranging desks in a significant way, or using visual, audi</w:t>
      </w:r>
      <w:r w:rsidR="00FB49ED">
        <w:rPr>
          <w:rFonts w:ascii="Times New Roman" w:hAnsi="Times New Roman" w:cs="Times New Roman"/>
          <w:sz w:val="24"/>
          <w:szCs w:val="24"/>
        </w:rPr>
        <w:t xml:space="preserve">o, and the digital technologies (Baines, 2007). </w:t>
      </w:r>
      <w:r w:rsidR="003C6880">
        <w:rPr>
          <w:rFonts w:ascii="Times New Roman" w:hAnsi="Times New Roman" w:cs="Times New Roman"/>
          <w:sz w:val="24"/>
          <w:szCs w:val="24"/>
        </w:rPr>
        <w:t>However, since characteristics and qualities of an appropriate learning environment are defined by a broad variety of elements, governance structures, school policies</w:t>
      </w:r>
      <w:r w:rsidR="00C2261A">
        <w:rPr>
          <w:rFonts w:ascii="Times New Roman" w:hAnsi="Times New Roman" w:cs="Times New Roman"/>
          <w:sz w:val="24"/>
          <w:szCs w:val="24"/>
        </w:rPr>
        <w:t>,</w:t>
      </w:r>
      <w:r w:rsidR="003C6880">
        <w:rPr>
          <w:rFonts w:ascii="Times New Roman" w:hAnsi="Times New Roman" w:cs="Times New Roman"/>
          <w:sz w:val="24"/>
          <w:szCs w:val="24"/>
        </w:rPr>
        <w:t xml:space="preserve"> </w:t>
      </w:r>
      <w:r w:rsidR="003C6880" w:rsidRPr="00C2261A">
        <w:rPr>
          <w:rFonts w:ascii="Times New Roman" w:hAnsi="Times New Roman" w:cs="Times New Roman"/>
          <w:noProof/>
          <w:sz w:val="24"/>
          <w:szCs w:val="24"/>
        </w:rPr>
        <w:t>and</w:t>
      </w:r>
      <w:r w:rsidR="003C6880">
        <w:rPr>
          <w:rFonts w:ascii="Times New Roman" w:hAnsi="Times New Roman" w:cs="Times New Roman"/>
          <w:sz w:val="24"/>
          <w:szCs w:val="24"/>
        </w:rPr>
        <w:t xml:space="preserve"> procedures, as well as other related aspects are also referred as components of a learning environment. </w:t>
      </w:r>
    </w:p>
    <w:p w:rsidR="00BE2886" w:rsidRDefault="00D62D44" w:rsidP="00A34A3E">
      <w:pPr>
        <w:spacing w:line="480" w:lineRule="auto"/>
        <w:rPr>
          <w:rFonts w:ascii="Times New Roman" w:hAnsi="Times New Roman" w:cs="Times New Roman"/>
          <w:b/>
          <w:sz w:val="24"/>
          <w:szCs w:val="24"/>
        </w:rPr>
      </w:pPr>
      <w:r w:rsidRPr="00D62D44">
        <w:rPr>
          <w:rFonts w:ascii="Times New Roman" w:hAnsi="Times New Roman" w:cs="Times New Roman"/>
          <w:b/>
          <w:sz w:val="24"/>
          <w:szCs w:val="24"/>
        </w:rPr>
        <w:t>How Learning Environments can be Situated within Traditional, Online, and Blended Spaces</w:t>
      </w:r>
    </w:p>
    <w:p w:rsidR="007F020A" w:rsidRPr="004969D2" w:rsidRDefault="00D62D44" w:rsidP="00866DD2">
      <w:pPr>
        <w:spacing w:line="480" w:lineRule="auto"/>
        <w:ind w:firstLine="720"/>
        <w:rPr>
          <w:rFonts w:ascii="Times New Roman" w:hAnsi="Times New Roman" w:cs="Times New Roman"/>
          <w:sz w:val="24"/>
          <w:szCs w:val="24"/>
          <w:highlight w:val="green"/>
        </w:rPr>
      </w:pPr>
      <w:r>
        <w:rPr>
          <w:rFonts w:ascii="Times New Roman" w:hAnsi="Times New Roman" w:cs="Times New Roman"/>
          <w:sz w:val="24"/>
          <w:szCs w:val="24"/>
        </w:rPr>
        <w:t xml:space="preserve">Given the above definition of learning environments, one can connect how diverse learning settings can be positioned within traditional, online, and the blended spaces. </w:t>
      </w:r>
      <w:r w:rsidR="00687A4A" w:rsidRPr="004969D2">
        <w:rPr>
          <w:rFonts w:ascii="Times New Roman" w:hAnsi="Times New Roman" w:cs="Times New Roman"/>
          <w:sz w:val="24"/>
          <w:szCs w:val="24"/>
          <w:highlight w:val="green"/>
        </w:rPr>
        <w:t>These learning environments can</w:t>
      </w:r>
      <w:r w:rsidR="00866DD2" w:rsidRPr="004969D2">
        <w:rPr>
          <w:rFonts w:ascii="Times New Roman" w:hAnsi="Times New Roman" w:cs="Times New Roman"/>
          <w:sz w:val="24"/>
          <w:szCs w:val="24"/>
          <w:highlight w:val="green"/>
        </w:rPr>
        <w:t xml:space="preserve"> be developed under three</w:t>
      </w:r>
      <w:r w:rsidR="00687A4A" w:rsidRPr="004969D2">
        <w:rPr>
          <w:rFonts w:ascii="Times New Roman" w:hAnsi="Times New Roman" w:cs="Times New Roman"/>
          <w:sz w:val="24"/>
          <w:szCs w:val="24"/>
          <w:highlight w:val="green"/>
        </w:rPr>
        <w:t xml:space="preserve"> perspectives- the extent to which a learning </w:t>
      </w:r>
      <w:r w:rsidR="00687A4A" w:rsidRPr="004969D2">
        <w:rPr>
          <w:rFonts w:ascii="Times New Roman" w:hAnsi="Times New Roman" w:cs="Times New Roman"/>
          <w:sz w:val="24"/>
          <w:szCs w:val="24"/>
          <w:highlight w:val="green"/>
        </w:rPr>
        <w:lastRenderedPageBreak/>
        <w:t>en</w:t>
      </w:r>
      <w:r w:rsidR="00866DD2" w:rsidRPr="004969D2">
        <w:rPr>
          <w:rFonts w:ascii="Times New Roman" w:hAnsi="Times New Roman" w:cs="Times New Roman"/>
          <w:sz w:val="24"/>
          <w:szCs w:val="24"/>
          <w:highlight w:val="green"/>
        </w:rPr>
        <w:t>vironment is formal, informal, or non-formal</w:t>
      </w:r>
      <w:r w:rsidR="00FB49ED" w:rsidRPr="004969D2">
        <w:rPr>
          <w:rFonts w:ascii="Times New Roman" w:hAnsi="Times New Roman" w:cs="Times New Roman"/>
          <w:sz w:val="24"/>
          <w:szCs w:val="24"/>
          <w:highlight w:val="green"/>
        </w:rPr>
        <w:t xml:space="preserve"> (Barab, &amp; Duffy, 2000).</w:t>
      </w:r>
      <w:r w:rsidR="007F020A" w:rsidRPr="004969D2">
        <w:rPr>
          <w:rFonts w:ascii="Times New Roman" w:hAnsi="Times New Roman" w:cs="Times New Roman"/>
          <w:sz w:val="24"/>
          <w:szCs w:val="24"/>
          <w:highlight w:val="green"/>
        </w:rPr>
        <w:t xml:space="preserve"> Foremost, formal learning mainly takes place at school and it is always structured such that there is a curriculum that is followed to guide both the learners and teachers. Also, formal learning is often prearranged, compulsory, teacher-led, and sequential. Additionally, there is a learning evaluation that is done through asking the learners questions to confirm whether they have understood what they are being taught. However, formal learning involves a motivation that is typically more extrinsic.</w:t>
      </w:r>
    </w:p>
    <w:p w:rsidR="00230C53" w:rsidRPr="004969D2" w:rsidRDefault="007F020A" w:rsidP="00866DD2">
      <w:pPr>
        <w:spacing w:line="480" w:lineRule="auto"/>
        <w:ind w:firstLine="720"/>
        <w:rPr>
          <w:rFonts w:ascii="Times New Roman" w:hAnsi="Times New Roman" w:cs="Times New Roman"/>
          <w:sz w:val="24"/>
          <w:szCs w:val="24"/>
          <w:highlight w:val="green"/>
        </w:rPr>
      </w:pPr>
      <w:r w:rsidRPr="004969D2">
        <w:rPr>
          <w:rFonts w:ascii="Times New Roman" w:hAnsi="Times New Roman" w:cs="Times New Roman"/>
          <w:sz w:val="24"/>
          <w:szCs w:val="24"/>
          <w:highlight w:val="green"/>
        </w:rPr>
        <w:t xml:space="preserve"> </w:t>
      </w:r>
      <w:r w:rsidR="00866DD2" w:rsidRPr="004969D2">
        <w:rPr>
          <w:rFonts w:ascii="Times New Roman" w:hAnsi="Times New Roman" w:cs="Times New Roman"/>
          <w:sz w:val="24"/>
          <w:szCs w:val="24"/>
          <w:highlight w:val="green"/>
        </w:rPr>
        <w:t xml:space="preserve">Informal learning is seen in life situations that spontaneously come about; for instance, across the neighborhood, the family, among others. Besides, such kind of learning is depicted in what an individual is listening to, viewing, ad reading, as well as in social life and hobbies. Nevertheless, informal learning can be differentiated from the other two types of learning environments since it lacks a mediator or authority. </w:t>
      </w:r>
    </w:p>
    <w:p w:rsidR="00866DD2" w:rsidRDefault="00866DD2" w:rsidP="00866DD2">
      <w:pPr>
        <w:spacing w:line="480" w:lineRule="auto"/>
        <w:ind w:firstLine="720"/>
        <w:rPr>
          <w:rFonts w:ascii="Times New Roman" w:hAnsi="Times New Roman" w:cs="Times New Roman"/>
          <w:sz w:val="24"/>
          <w:szCs w:val="24"/>
        </w:rPr>
      </w:pPr>
      <w:r w:rsidRPr="004969D2">
        <w:rPr>
          <w:rFonts w:ascii="Times New Roman" w:hAnsi="Times New Roman" w:cs="Times New Roman"/>
          <w:sz w:val="24"/>
          <w:szCs w:val="24"/>
          <w:highlight w:val="green"/>
        </w:rPr>
        <w:t xml:space="preserve">Non-formal learning environment, on the other hand, is learning that takes place out of school. However, such learning is mainly supportive, structured, and often prearranged. </w:t>
      </w:r>
      <w:r w:rsidR="007F020A" w:rsidRPr="004969D2">
        <w:rPr>
          <w:rFonts w:ascii="Times New Roman" w:hAnsi="Times New Roman" w:cs="Times New Roman"/>
          <w:sz w:val="24"/>
          <w:szCs w:val="24"/>
          <w:highlight w:val="green"/>
        </w:rPr>
        <w:t>Notwithstanding, unlike the informal learning whereby motivation is usually intrinsic, non-formal learning involves a motivation that can be extrinsic though it is explicitly more intrinsic</w:t>
      </w:r>
      <w:r w:rsidR="00AA72BE" w:rsidRPr="004969D2">
        <w:rPr>
          <w:rFonts w:ascii="Times New Roman" w:hAnsi="Times New Roman" w:cs="Times New Roman"/>
          <w:sz w:val="24"/>
          <w:szCs w:val="24"/>
          <w:highlight w:val="green"/>
        </w:rPr>
        <w:t xml:space="preserve"> (Barab, &amp; Duffy, 2000). </w:t>
      </w:r>
      <w:r w:rsidR="007F020A" w:rsidRPr="004969D2">
        <w:rPr>
          <w:rFonts w:ascii="Times New Roman" w:hAnsi="Times New Roman" w:cs="Times New Roman"/>
          <w:sz w:val="24"/>
          <w:szCs w:val="24"/>
          <w:highlight w:val="green"/>
        </w:rPr>
        <w:t>Also, non-formal learning is often voluntary, not evaluated, and explicitly non-sequential since it is teacher-led.</w:t>
      </w:r>
      <w:r w:rsidR="007F020A">
        <w:rPr>
          <w:rFonts w:ascii="Times New Roman" w:hAnsi="Times New Roman" w:cs="Times New Roman"/>
          <w:sz w:val="24"/>
          <w:szCs w:val="24"/>
        </w:rPr>
        <w:t xml:space="preserve"> </w:t>
      </w:r>
    </w:p>
    <w:p w:rsidR="00DA631A" w:rsidRDefault="003A7239" w:rsidP="00A34A3E">
      <w:pPr>
        <w:spacing w:line="480" w:lineRule="auto"/>
        <w:rPr>
          <w:rFonts w:ascii="Times New Roman" w:hAnsi="Times New Roman" w:cs="Times New Roman"/>
          <w:b/>
          <w:sz w:val="24"/>
          <w:szCs w:val="24"/>
        </w:rPr>
      </w:pPr>
      <w:r w:rsidRPr="003A7239">
        <w:rPr>
          <w:rFonts w:ascii="Times New Roman" w:hAnsi="Times New Roman" w:cs="Times New Roman"/>
          <w:b/>
          <w:sz w:val="24"/>
          <w:szCs w:val="24"/>
        </w:rPr>
        <w:t>Design-based Research</w:t>
      </w:r>
    </w:p>
    <w:p w:rsidR="003A7239" w:rsidRDefault="000656BD" w:rsidP="00B74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Mostly, learning environments are associated with </w:t>
      </w:r>
      <w:r w:rsidR="00C2261A">
        <w:rPr>
          <w:rFonts w:ascii="Times New Roman" w:hAnsi="Times New Roman" w:cs="Times New Roman"/>
          <w:sz w:val="24"/>
          <w:szCs w:val="24"/>
        </w:rPr>
        <w:t xml:space="preserve">the </w:t>
      </w:r>
      <w:r w:rsidRPr="00C2261A">
        <w:rPr>
          <w:rFonts w:ascii="Times New Roman" w:hAnsi="Times New Roman" w:cs="Times New Roman"/>
          <w:noProof/>
          <w:sz w:val="24"/>
          <w:szCs w:val="24"/>
        </w:rPr>
        <w:t>complex</w:t>
      </w:r>
      <w:r>
        <w:rPr>
          <w:rFonts w:ascii="Times New Roman" w:hAnsi="Times New Roman" w:cs="Times New Roman"/>
          <w:sz w:val="24"/>
          <w:szCs w:val="24"/>
        </w:rPr>
        <w:t xml:space="preserve"> as well as difficult to understand variables that affect the learning outcomes. As a result, design-based research is used in addressing several of such complexities. Therefore, DBR has three key phases: analysis &amp; </w:t>
      </w:r>
      <w:r>
        <w:rPr>
          <w:rFonts w:ascii="Times New Roman" w:hAnsi="Times New Roman" w:cs="Times New Roman"/>
          <w:sz w:val="24"/>
          <w:szCs w:val="24"/>
        </w:rPr>
        <w:lastRenderedPageBreak/>
        <w:t>exploration phase, design &amp; construction phase, and the evalua</w:t>
      </w:r>
      <w:r w:rsidR="00FB49ED">
        <w:rPr>
          <w:rFonts w:ascii="Times New Roman" w:hAnsi="Times New Roman" w:cs="Times New Roman"/>
          <w:sz w:val="24"/>
          <w:szCs w:val="24"/>
        </w:rPr>
        <w:t xml:space="preserve">tion &amp; reflection phase (Anderson, &amp; Shattuck, </w:t>
      </w:r>
      <w:r w:rsidR="00FB49ED" w:rsidRPr="00FB49ED">
        <w:rPr>
          <w:rFonts w:ascii="Times New Roman" w:hAnsi="Times New Roman" w:cs="Times New Roman"/>
          <w:sz w:val="24"/>
          <w:szCs w:val="24"/>
        </w:rPr>
        <w:t xml:space="preserve">2012). </w:t>
      </w:r>
      <w:r>
        <w:rPr>
          <w:rFonts w:ascii="Times New Roman" w:hAnsi="Times New Roman" w:cs="Times New Roman"/>
          <w:sz w:val="24"/>
          <w:szCs w:val="24"/>
        </w:rPr>
        <w:t xml:space="preserve"> In the first phase (analysis &amp; exploration), a literature review is conducted in gaining insight into the complexity, context, as well as the other related topics. After gaining insight, </w:t>
      </w:r>
      <w:r w:rsidR="00325390">
        <w:rPr>
          <w:rFonts w:ascii="Times New Roman" w:hAnsi="Times New Roman" w:cs="Times New Roman"/>
          <w:sz w:val="24"/>
          <w:szCs w:val="24"/>
        </w:rPr>
        <w:t>the educational leaders</w:t>
      </w:r>
      <w:r w:rsidR="001A0DCE">
        <w:rPr>
          <w:rFonts w:ascii="Times New Roman" w:hAnsi="Times New Roman" w:cs="Times New Roman"/>
          <w:sz w:val="24"/>
          <w:szCs w:val="24"/>
        </w:rPr>
        <w:t xml:space="preserve"> </w:t>
      </w:r>
      <w:r w:rsidR="001A0DCE" w:rsidRPr="00C2261A">
        <w:rPr>
          <w:rFonts w:ascii="Times New Roman" w:hAnsi="Times New Roman" w:cs="Times New Roman"/>
          <w:noProof/>
          <w:sz w:val="24"/>
          <w:szCs w:val="24"/>
        </w:rPr>
        <w:t>collaborate</w:t>
      </w:r>
      <w:r w:rsidR="001A0DCE">
        <w:rPr>
          <w:rFonts w:ascii="Times New Roman" w:hAnsi="Times New Roman" w:cs="Times New Roman"/>
          <w:sz w:val="24"/>
          <w:szCs w:val="24"/>
        </w:rPr>
        <w:t xml:space="preserve"> with the practitioners in a better understanding of their needs. Finally, there is </w:t>
      </w:r>
      <w:r w:rsidR="00C2261A">
        <w:rPr>
          <w:rFonts w:ascii="Times New Roman" w:hAnsi="Times New Roman" w:cs="Times New Roman"/>
          <w:sz w:val="24"/>
          <w:szCs w:val="24"/>
        </w:rPr>
        <w:t xml:space="preserve">an </w:t>
      </w:r>
      <w:r w:rsidR="001A0DCE" w:rsidRPr="00C2261A">
        <w:rPr>
          <w:rFonts w:ascii="Times New Roman" w:hAnsi="Times New Roman" w:cs="Times New Roman"/>
          <w:noProof/>
          <w:sz w:val="24"/>
          <w:szCs w:val="24"/>
        </w:rPr>
        <w:t>exploration</w:t>
      </w:r>
      <w:r w:rsidR="001A0DCE">
        <w:rPr>
          <w:rFonts w:ascii="Times New Roman" w:hAnsi="Times New Roman" w:cs="Times New Roman"/>
          <w:sz w:val="24"/>
          <w:szCs w:val="24"/>
        </w:rPr>
        <w:t xml:space="preserve"> of the common issues and solutions. </w:t>
      </w:r>
    </w:p>
    <w:p w:rsidR="001A0DCE" w:rsidRDefault="001A0DCE" w:rsidP="00B74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phase in DBR involves designing and construction. Design involves developing, exploring, and focusing the available solutions to the issues at hand. What follows is selecting the suitable options after a theoretical or practical grounding for the vario</w:t>
      </w:r>
      <w:r w:rsidR="00FB49ED">
        <w:rPr>
          <w:rFonts w:ascii="Times New Roman" w:hAnsi="Times New Roman" w:cs="Times New Roman"/>
          <w:sz w:val="24"/>
          <w:szCs w:val="24"/>
        </w:rPr>
        <w:t xml:space="preserve">us alternatives (Anderson, &amp; Shattuck, 2012). </w:t>
      </w:r>
      <w:r>
        <w:rPr>
          <w:rFonts w:ascii="Times New Roman" w:hAnsi="Times New Roman" w:cs="Times New Roman"/>
          <w:sz w:val="24"/>
          <w:szCs w:val="24"/>
        </w:rPr>
        <w:t xml:space="preserve">Construction, on the other hand, involves effectively manufacturing the desired solution to the problem. However, there is a prototyping framework that is </w:t>
      </w:r>
      <w:r w:rsidRPr="00C2261A">
        <w:rPr>
          <w:rFonts w:ascii="Times New Roman" w:hAnsi="Times New Roman" w:cs="Times New Roman"/>
          <w:noProof/>
          <w:sz w:val="24"/>
          <w:szCs w:val="24"/>
        </w:rPr>
        <w:t>ma</w:t>
      </w:r>
      <w:r w:rsidR="00C2261A">
        <w:rPr>
          <w:rFonts w:ascii="Times New Roman" w:hAnsi="Times New Roman" w:cs="Times New Roman"/>
          <w:noProof/>
          <w:sz w:val="24"/>
          <w:szCs w:val="24"/>
        </w:rPr>
        <w:t>i</w:t>
      </w:r>
      <w:r w:rsidRPr="00C2261A">
        <w:rPr>
          <w:rFonts w:ascii="Times New Roman" w:hAnsi="Times New Roman" w:cs="Times New Roman"/>
          <w:noProof/>
          <w:sz w:val="24"/>
          <w:szCs w:val="24"/>
        </w:rPr>
        <w:t>nly</w:t>
      </w:r>
      <w:r>
        <w:rPr>
          <w:rFonts w:ascii="Times New Roman" w:hAnsi="Times New Roman" w:cs="Times New Roman"/>
          <w:sz w:val="24"/>
          <w:szCs w:val="24"/>
        </w:rPr>
        <w:t xml:space="preserve"> used in the construction stage, whereby there is a (re-)creation of the preferred solutions based on different approximations. </w:t>
      </w:r>
    </w:p>
    <w:p w:rsidR="001A0DCE" w:rsidRDefault="001A0DCE" w:rsidP="00B74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Evaluation and reflection </w:t>
      </w:r>
      <w:r w:rsidRPr="00C2261A">
        <w:rPr>
          <w:rFonts w:ascii="Times New Roman" w:hAnsi="Times New Roman" w:cs="Times New Roman"/>
          <w:noProof/>
          <w:sz w:val="24"/>
          <w:szCs w:val="24"/>
        </w:rPr>
        <w:t>mark</w:t>
      </w:r>
      <w:r>
        <w:rPr>
          <w:rFonts w:ascii="Times New Roman" w:hAnsi="Times New Roman" w:cs="Times New Roman"/>
          <w:sz w:val="24"/>
          <w:szCs w:val="24"/>
        </w:rPr>
        <w:t xml:space="preserve"> the third stage of </w:t>
      </w:r>
      <w:r w:rsidR="00692BA3">
        <w:rPr>
          <w:rFonts w:ascii="Times New Roman" w:hAnsi="Times New Roman" w:cs="Times New Roman"/>
          <w:sz w:val="24"/>
          <w:szCs w:val="24"/>
        </w:rPr>
        <w:t xml:space="preserve">design-based research. Evaluation in such a context is often interpreted broadly since it is considered as the empirical testing phase of the intervention constructed whether on an initial, partial, or final form. Moreover, research shows that, in critically reflecting on both development and research stages, there are empirical outcomes and critical reflections that are often used in accepting, refining, or refuting the intervention preferred. </w:t>
      </w:r>
    </w:p>
    <w:p w:rsidR="00692BA3" w:rsidRDefault="00692BA3" w:rsidP="00B74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 above three phases of DBR, it is evident that it departs from a problem that can be either practically or scientifically related to a specific learning environment. Since educational research has experienced much criticism for long due to its weak association to practice, DBR offers an increased focus on various issues and problems that confront the everyday learning </w:t>
      </w:r>
      <w:r>
        <w:rPr>
          <w:rFonts w:ascii="Times New Roman" w:hAnsi="Times New Roman" w:cs="Times New Roman"/>
          <w:sz w:val="24"/>
          <w:szCs w:val="24"/>
        </w:rPr>
        <w:lastRenderedPageBreak/>
        <w:t xml:space="preserve">practice. </w:t>
      </w:r>
      <w:r w:rsidR="009B43D9">
        <w:rPr>
          <w:rFonts w:ascii="Times New Roman" w:hAnsi="Times New Roman" w:cs="Times New Roman"/>
          <w:sz w:val="24"/>
          <w:szCs w:val="24"/>
        </w:rPr>
        <w:t xml:space="preserve">Also, DBR happens to be theoretically oriented. Therefore, scientific knowledge can be applied in framing the outcomes of an inquiry and in shaping a solution for a complex educational concern. Additionally, a significant goal of DBR is to develop teaching and learning theories that can be relevant to other educational practitioners and designers. </w:t>
      </w:r>
    </w:p>
    <w:p w:rsidR="009B43D9" w:rsidRDefault="009B43D9" w:rsidP="00B74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since DBR applies the practical design principles, the framework demonstrates the designed educational interventions’ value in the local context. Therefore, through the generalization process, there is an increased possibility for developing domain theories, designing methodologie</w:t>
      </w:r>
      <w:r w:rsidR="00FB49ED">
        <w:rPr>
          <w:rFonts w:ascii="Times New Roman" w:hAnsi="Times New Roman" w:cs="Times New Roman"/>
          <w:sz w:val="24"/>
          <w:szCs w:val="24"/>
        </w:rPr>
        <w:t xml:space="preserve">s, and implementing frameworks (Anderson, &amp; Shattuck, </w:t>
      </w:r>
      <w:r w:rsidR="00FB49ED" w:rsidRPr="00FB49ED">
        <w:rPr>
          <w:rFonts w:ascii="Times New Roman" w:hAnsi="Times New Roman" w:cs="Times New Roman"/>
          <w:sz w:val="24"/>
          <w:szCs w:val="24"/>
        </w:rPr>
        <w:t xml:space="preserve">2012). </w:t>
      </w:r>
      <w:r w:rsidR="00FB49ED">
        <w:rPr>
          <w:rFonts w:ascii="Times New Roman" w:hAnsi="Times New Roman" w:cs="Times New Roman"/>
          <w:sz w:val="24"/>
          <w:szCs w:val="24"/>
        </w:rPr>
        <w:t xml:space="preserve"> </w:t>
      </w:r>
      <w:r>
        <w:rPr>
          <w:rFonts w:ascii="Times New Roman" w:hAnsi="Times New Roman" w:cs="Times New Roman"/>
          <w:sz w:val="24"/>
          <w:szCs w:val="24"/>
        </w:rPr>
        <w:t>Nevertheless, DBR conducts research in authentic settings i.e., in ideal educational contexts, and not in laboratory context that are isolated from daily practice. As a result, there is an increased ecological validity. Furthermore, the collaboration between practitioners and researchers mostly provide a meaningful practical change</w:t>
      </w:r>
      <w:r w:rsidR="00A8540B">
        <w:rPr>
          <w:rFonts w:ascii="Times New Roman" w:hAnsi="Times New Roman" w:cs="Times New Roman"/>
          <w:sz w:val="24"/>
          <w:szCs w:val="24"/>
        </w:rPr>
        <w:t xml:space="preserve">. Before initiating a research project, definition and exploration of an issue </w:t>
      </w:r>
      <w:r w:rsidR="00C2261A">
        <w:rPr>
          <w:rFonts w:ascii="Times New Roman" w:hAnsi="Times New Roman" w:cs="Times New Roman"/>
          <w:noProof/>
          <w:sz w:val="24"/>
          <w:szCs w:val="24"/>
        </w:rPr>
        <w:t>are</w:t>
      </w:r>
      <w:r w:rsidR="00A8540B">
        <w:rPr>
          <w:rFonts w:ascii="Times New Roman" w:hAnsi="Times New Roman" w:cs="Times New Roman"/>
          <w:sz w:val="24"/>
          <w:szCs w:val="24"/>
        </w:rPr>
        <w:t xml:space="preserve"> done together with the confronted parties by a given problem. Therefore, through conducting interventions at a later stage, educational researchers learn from the practitioners. </w:t>
      </w:r>
    </w:p>
    <w:p w:rsidR="002717EA" w:rsidRPr="004969D2" w:rsidRDefault="00AA72BE" w:rsidP="00A34A3E">
      <w:pPr>
        <w:spacing w:line="480" w:lineRule="auto"/>
        <w:rPr>
          <w:rFonts w:ascii="Times New Roman" w:hAnsi="Times New Roman" w:cs="Times New Roman"/>
          <w:b/>
          <w:sz w:val="24"/>
          <w:szCs w:val="24"/>
          <w:highlight w:val="green"/>
        </w:rPr>
      </w:pPr>
      <w:r w:rsidRPr="004969D2">
        <w:rPr>
          <w:rFonts w:ascii="Times New Roman" w:hAnsi="Times New Roman" w:cs="Times New Roman"/>
          <w:b/>
          <w:sz w:val="24"/>
          <w:szCs w:val="24"/>
          <w:highlight w:val="green"/>
        </w:rPr>
        <w:t>Educational Leaders Role in Leveraging DBR</w:t>
      </w:r>
    </w:p>
    <w:p w:rsidR="00AA72BE" w:rsidRPr="00AA72BE" w:rsidRDefault="00AA72BE" w:rsidP="004B043A">
      <w:pPr>
        <w:spacing w:line="480" w:lineRule="auto"/>
        <w:ind w:firstLine="720"/>
        <w:rPr>
          <w:rFonts w:ascii="Times New Roman" w:hAnsi="Times New Roman" w:cs="Times New Roman"/>
          <w:sz w:val="24"/>
          <w:szCs w:val="24"/>
        </w:rPr>
      </w:pPr>
      <w:r w:rsidRPr="004969D2">
        <w:rPr>
          <w:rFonts w:ascii="Times New Roman" w:hAnsi="Times New Roman" w:cs="Times New Roman"/>
          <w:sz w:val="24"/>
          <w:szCs w:val="24"/>
          <w:highlight w:val="green"/>
        </w:rPr>
        <w:t>Given that DBR conducts research in authentic settings including other functions, educational leaders have a primary role in leveraging it. Foremost, the leaders should appropriately connect with the set curriculum. These leade</w:t>
      </w:r>
      <w:bookmarkStart w:id="0" w:name="_GoBack"/>
      <w:bookmarkEnd w:id="0"/>
      <w:r w:rsidRPr="004969D2">
        <w:rPr>
          <w:rFonts w:ascii="Times New Roman" w:hAnsi="Times New Roman" w:cs="Times New Roman"/>
          <w:sz w:val="24"/>
          <w:szCs w:val="24"/>
          <w:highlight w:val="green"/>
        </w:rPr>
        <w:t>rs should consider the opportunities for expanding or reinforcing upon the set curriculum through offering an added perspective that will facilitate passing of knowledge to the learners</w:t>
      </w:r>
      <w:r w:rsidR="004B043A" w:rsidRPr="004969D2">
        <w:rPr>
          <w:rFonts w:ascii="Times New Roman" w:hAnsi="Times New Roman" w:cs="Times New Roman"/>
          <w:sz w:val="24"/>
          <w:szCs w:val="24"/>
          <w:highlight w:val="green"/>
        </w:rPr>
        <w:t xml:space="preserve"> (Anderson, &amp; Shattuck, 2012). </w:t>
      </w:r>
      <w:r w:rsidRPr="004969D2">
        <w:rPr>
          <w:rFonts w:ascii="Times New Roman" w:hAnsi="Times New Roman" w:cs="Times New Roman"/>
          <w:sz w:val="24"/>
          <w:szCs w:val="24"/>
          <w:highlight w:val="green"/>
        </w:rPr>
        <w:t xml:space="preserve"> For example, fieldtrips can be considered as a means of expanding the knowledge of the students. Also, </w:t>
      </w:r>
      <w:r w:rsidRPr="004969D2">
        <w:rPr>
          <w:rFonts w:ascii="Times New Roman" w:hAnsi="Times New Roman" w:cs="Times New Roman"/>
          <w:sz w:val="24"/>
          <w:szCs w:val="24"/>
          <w:highlight w:val="green"/>
        </w:rPr>
        <w:lastRenderedPageBreak/>
        <w:t>educational leaders should provide new exp</w:t>
      </w:r>
      <w:r w:rsidR="004B043A" w:rsidRPr="004969D2">
        <w:rPr>
          <w:rFonts w:ascii="Times New Roman" w:hAnsi="Times New Roman" w:cs="Times New Roman"/>
          <w:sz w:val="24"/>
          <w:szCs w:val="24"/>
          <w:highlight w:val="green"/>
        </w:rPr>
        <w:t>eriences in learning. Such learning experiences help the students to be rich with firsthand and novel learning and also affects the development of the learner currently and in future.</w:t>
      </w:r>
      <w:r w:rsidR="004B043A">
        <w:rPr>
          <w:rFonts w:ascii="Times New Roman" w:hAnsi="Times New Roman" w:cs="Times New Roman"/>
          <w:sz w:val="24"/>
          <w:szCs w:val="24"/>
        </w:rPr>
        <w:t xml:space="preserve"> </w:t>
      </w:r>
    </w:p>
    <w:p w:rsidR="007F1740" w:rsidRDefault="007F1740" w:rsidP="00A34A3E">
      <w:pPr>
        <w:spacing w:line="480" w:lineRule="auto"/>
        <w:rPr>
          <w:rFonts w:ascii="Times New Roman" w:hAnsi="Times New Roman" w:cs="Times New Roman"/>
          <w:b/>
          <w:sz w:val="24"/>
          <w:szCs w:val="24"/>
        </w:rPr>
      </w:pPr>
      <w:r w:rsidRPr="007F1740">
        <w:rPr>
          <w:rFonts w:ascii="Times New Roman" w:hAnsi="Times New Roman" w:cs="Times New Roman"/>
          <w:b/>
          <w:sz w:val="24"/>
          <w:szCs w:val="24"/>
        </w:rPr>
        <w:t>Conclusion</w:t>
      </w:r>
    </w:p>
    <w:p w:rsidR="007F1740" w:rsidRDefault="007F1740" w:rsidP="00B74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Learning environments promotes and supports a wide variety of pedagogies like applying, delivering, communication, creating, and decision-making. Such pedagogies are mainly centered around the learner’s “home base” whereby there is a lot of learning and teaching, and such bases facilitate an access to a wide range of other learning spaces. However, learning environments are useful since they offer support to the strengths-based teaching and also provide flexibility to both instructors and learners. Additionally, learning environments provide access to </w:t>
      </w:r>
      <w:r w:rsidR="00102E69">
        <w:rPr>
          <w:rFonts w:ascii="Times New Roman" w:hAnsi="Times New Roman" w:cs="Times New Roman"/>
          <w:sz w:val="24"/>
          <w:szCs w:val="24"/>
        </w:rPr>
        <w:t>resources</w:t>
      </w:r>
      <w:r>
        <w:rPr>
          <w:rFonts w:ascii="Times New Roman" w:hAnsi="Times New Roman" w:cs="Times New Roman"/>
          <w:sz w:val="24"/>
          <w:szCs w:val="24"/>
        </w:rPr>
        <w:t xml:space="preserve"> and open</w:t>
      </w:r>
      <w:r w:rsidR="00102E69">
        <w:rPr>
          <w:rFonts w:ascii="Times New Roman" w:hAnsi="Times New Roman" w:cs="Times New Roman"/>
          <w:sz w:val="24"/>
          <w:szCs w:val="24"/>
        </w:rPr>
        <w:t xml:space="preserve">ness as well. Therefore, by providing instructors and learners with a flexible and open learning environment whereby there is sharing of inquiries, collaboratively devising interventions and reflections rooted on both peer and </w:t>
      </w:r>
      <w:r w:rsidR="00102E69" w:rsidRPr="00C2261A">
        <w:rPr>
          <w:rFonts w:ascii="Times New Roman" w:hAnsi="Times New Roman" w:cs="Times New Roman"/>
          <w:noProof/>
          <w:sz w:val="24"/>
          <w:szCs w:val="24"/>
        </w:rPr>
        <w:t>self-observation</w:t>
      </w:r>
      <w:r w:rsidR="00102E69">
        <w:rPr>
          <w:rFonts w:ascii="Times New Roman" w:hAnsi="Times New Roman" w:cs="Times New Roman"/>
          <w:sz w:val="24"/>
          <w:szCs w:val="24"/>
        </w:rPr>
        <w:t xml:space="preserve">, can result to the establishment of a robust, constantly improving practice community. </w:t>
      </w:r>
    </w:p>
    <w:p w:rsidR="002717EA" w:rsidRDefault="002717EA" w:rsidP="00FB49ED">
      <w:pPr>
        <w:spacing w:line="480" w:lineRule="auto"/>
        <w:jc w:val="center"/>
        <w:rPr>
          <w:rFonts w:ascii="Times New Roman" w:hAnsi="Times New Roman" w:cs="Times New Roman"/>
          <w:b/>
          <w:sz w:val="24"/>
          <w:szCs w:val="24"/>
        </w:rPr>
      </w:pPr>
    </w:p>
    <w:p w:rsidR="002717EA" w:rsidRDefault="002717EA" w:rsidP="00FB49ED">
      <w:pPr>
        <w:spacing w:line="480" w:lineRule="auto"/>
        <w:jc w:val="center"/>
        <w:rPr>
          <w:rFonts w:ascii="Times New Roman" w:hAnsi="Times New Roman" w:cs="Times New Roman"/>
          <w:b/>
          <w:sz w:val="24"/>
          <w:szCs w:val="24"/>
        </w:rPr>
      </w:pPr>
    </w:p>
    <w:p w:rsidR="002717EA" w:rsidRDefault="002717EA" w:rsidP="00FB49ED">
      <w:pPr>
        <w:spacing w:line="480" w:lineRule="auto"/>
        <w:jc w:val="center"/>
        <w:rPr>
          <w:rFonts w:ascii="Times New Roman" w:hAnsi="Times New Roman" w:cs="Times New Roman"/>
          <w:b/>
          <w:sz w:val="24"/>
          <w:szCs w:val="24"/>
        </w:rPr>
      </w:pPr>
    </w:p>
    <w:p w:rsidR="002717EA" w:rsidRDefault="002717EA" w:rsidP="00FB49ED">
      <w:pPr>
        <w:spacing w:line="480" w:lineRule="auto"/>
        <w:jc w:val="center"/>
        <w:rPr>
          <w:rFonts w:ascii="Times New Roman" w:hAnsi="Times New Roman" w:cs="Times New Roman"/>
          <w:b/>
          <w:sz w:val="24"/>
          <w:szCs w:val="24"/>
        </w:rPr>
      </w:pPr>
    </w:p>
    <w:p w:rsidR="002717EA" w:rsidRDefault="002717EA" w:rsidP="00FB49ED">
      <w:pPr>
        <w:spacing w:line="480" w:lineRule="auto"/>
        <w:jc w:val="center"/>
        <w:rPr>
          <w:rFonts w:ascii="Times New Roman" w:hAnsi="Times New Roman" w:cs="Times New Roman"/>
          <w:b/>
          <w:sz w:val="24"/>
          <w:szCs w:val="24"/>
        </w:rPr>
      </w:pPr>
    </w:p>
    <w:p w:rsidR="004B043A" w:rsidRDefault="004B043A" w:rsidP="004B043A">
      <w:pPr>
        <w:spacing w:line="480" w:lineRule="auto"/>
        <w:rPr>
          <w:rFonts w:ascii="Times New Roman" w:hAnsi="Times New Roman" w:cs="Times New Roman"/>
          <w:b/>
          <w:sz w:val="24"/>
          <w:szCs w:val="24"/>
        </w:rPr>
      </w:pPr>
    </w:p>
    <w:p w:rsidR="00627CB7" w:rsidRDefault="00627CB7" w:rsidP="004B043A">
      <w:pPr>
        <w:spacing w:line="480" w:lineRule="auto"/>
        <w:jc w:val="center"/>
        <w:rPr>
          <w:rFonts w:ascii="Times New Roman" w:hAnsi="Times New Roman" w:cs="Times New Roman"/>
          <w:b/>
          <w:sz w:val="24"/>
          <w:szCs w:val="24"/>
        </w:rPr>
      </w:pPr>
      <w:r w:rsidRPr="00627CB7">
        <w:rPr>
          <w:rFonts w:ascii="Times New Roman" w:hAnsi="Times New Roman" w:cs="Times New Roman"/>
          <w:b/>
          <w:sz w:val="24"/>
          <w:szCs w:val="24"/>
        </w:rPr>
        <w:lastRenderedPageBreak/>
        <w:t>References</w:t>
      </w:r>
    </w:p>
    <w:p w:rsidR="00FB49ED" w:rsidRPr="00FB49ED" w:rsidRDefault="00FB49ED" w:rsidP="00FB49ED">
      <w:pPr>
        <w:spacing w:line="480" w:lineRule="auto"/>
        <w:ind w:left="720" w:hanging="720"/>
        <w:rPr>
          <w:rFonts w:ascii="Times New Roman" w:hAnsi="Times New Roman" w:cs="Times New Roman"/>
          <w:b/>
          <w:sz w:val="24"/>
          <w:szCs w:val="24"/>
        </w:rPr>
      </w:pPr>
      <w:r w:rsidRPr="00FB49ED">
        <w:rPr>
          <w:rFonts w:ascii="Times New Roman" w:hAnsi="Times New Roman" w:cs="Times New Roman"/>
          <w:sz w:val="24"/>
          <w:szCs w:val="24"/>
        </w:rPr>
        <w:t xml:space="preserve">Anderson, T., &amp; Shattuck, J. (2012). Design-based research: A decade of progress in education research? </w:t>
      </w:r>
      <w:r w:rsidRPr="00FB49ED">
        <w:rPr>
          <w:rFonts w:ascii="Times New Roman" w:hAnsi="Times New Roman" w:cs="Times New Roman"/>
          <w:i/>
          <w:sz w:val="24"/>
          <w:szCs w:val="24"/>
        </w:rPr>
        <w:t>Educational Researcher</w:t>
      </w:r>
      <w:r w:rsidRPr="00FB49ED">
        <w:rPr>
          <w:rFonts w:ascii="Times New Roman" w:hAnsi="Times New Roman" w:cs="Times New Roman"/>
          <w:sz w:val="24"/>
          <w:szCs w:val="24"/>
        </w:rPr>
        <w:t>, 41(1), 16-25.</w:t>
      </w:r>
    </w:p>
    <w:p w:rsidR="0068699A" w:rsidRPr="00FB49ED" w:rsidRDefault="0068699A" w:rsidP="00FB49ED">
      <w:pPr>
        <w:spacing w:line="480" w:lineRule="auto"/>
        <w:ind w:left="720" w:hanging="720"/>
        <w:rPr>
          <w:rFonts w:ascii="Times New Roman" w:hAnsi="Times New Roman" w:cs="Times New Roman"/>
          <w:sz w:val="24"/>
          <w:szCs w:val="24"/>
        </w:rPr>
      </w:pPr>
      <w:r w:rsidRPr="00FB49ED">
        <w:rPr>
          <w:rFonts w:ascii="Times New Roman" w:hAnsi="Times New Roman" w:cs="Times New Roman"/>
          <w:sz w:val="24"/>
          <w:szCs w:val="24"/>
        </w:rPr>
        <w:t>Baines, L. (2007). “</w:t>
      </w:r>
      <w:r w:rsidRPr="00FB49ED">
        <w:rPr>
          <w:rFonts w:ascii="Times New Roman" w:hAnsi="Times New Roman" w:cs="Times New Roman"/>
          <w:i/>
          <w:sz w:val="24"/>
          <w:szCs w:val="24"/>
        </w:rPr>
        <w:t>Learning from the World: Achieving More by Doing Less</w:t>
      </w:r>
      <w:r w:rsidRPr="00FB49ED">
        <w:rPr>
          <w:rFonts w:ascii="Times New Roman" w:hAnsi="Times New Roman" w:cs="Times New Roman"/>
          <w:sz w:val="24"/>
          <w:szCs w:val="24"/>
        </w:rPr>
        <w:t>.” Phi Delta Kappan. 89 (October 2007) pp. 98-100.</w:t>
      </w:r>
    </w:p>
    <w:p w:rsidR="00FB49ED" w:rsidRPr="00FB49ED" w:rsidRDefault="00FB49ED" w:rsidP="00FB49ED">
      <w:pPr>
        <w:spacing w:line="480" w:lineRule="auto"/>
        <w:ind w:left="720" w:hanging="720"/>
        <w:rPr>
          <w:rFonts w:ascii="Times New Roman" w:hAnsi="Times New Roman" w:cs="Times New Roman"/>
          <w:sz w:val="24"/>
          <w:szCs w:val="24"/>
        </w:rPr>
      </w:pPr>
      <w:r w:rsidRPr="00FB49ED">
        <w:rPr>
          <w:rFonts w:ascii="Times New Roman" w:hAnsi="Times New Roman" w:cs="Times New Roman"/>
          <w:sz w:val="24"/>
          <w:szCs w:val="24"/>
        </w:rPr>
        <w:t xml:space="preserve">Barab, S., &amp; Duffy, T. (2000). From practice fields to communities of practice. </w:t>
      </w:r>
      <w:r w:rsidRPr="00FB49ED">
        <w:rPr>
          <w:rFonts w:ascii="Times New Roman" w:hAnsi="Times New Roman" w:cs="Times New Roman"/>
          <w:i/>
          <w:sz w:val="24"/>
          <w:szCs w:val="24"/>
        </w:rPr>
        <w:t>Theoretical foundations of learning environments</w:t>
      </w:r>
      <w:r w:rsidRPr="00FB49ED">
        <w:rPr>
          <w:rFonts w:ascii="Times New Roman" w:hAnsi="Times New Roman" w:cs="Times New Roman"/>
          <w:sz w:val="24"/>
          <w:szCs w:val="24"/>
        </w:rPr>
        <w:t>, 25</w:t>
      </w:r>
    </w:p>
    <w:p w:rsidR="0068699A" w:rsidRDefault="0068699A" w:rsidP="00FB49ED">
      <w:pPr>
        <w:spacing w:line="480" w:lineRule="auto"/>
        <w:ind w:left="720" w:hanging="720"/>
        <w:rPr>
          <w:rFonts w:ascii="Times New Roman" w:hAnsi="Times New Roman" w:cs="Times New Roman"/>
          <w:sz w:val="24"/>
          <w:szCs w:val="24"/>
        </w:rPr>
      </w:pPr>
      <w:r w:rsidRPr="00FB49ED">
        <w:rPr>
          <w:rFonts w:ascii="Times New Roman" w:hAnsi="Times New Roman" w:cs="Times New Roman"/>
          <w:sz w:val="24"/>
          <w:szCs w:val="24"/>
        </w:rPr>
        <w:t xml:space="preserve">Bransford, J., Brown, A., Cocking, R., eds. (2000). </w:t>
      </w:r>
      <w:r w:rsidRPr="00FB49ED">
        <w:rPr>
          <w:rFonts w:ascii="Times New Roman" w:hAnsi="Times New Roman" w:cs="Times New Roman"/>
          <w:i/>
          <w:sz w:val="24"/>
          <w:szCs w:val="24"/>
        </w:rPr>
        <w:t>How People Learn: Brain, Mind, Experience, and School, expanded edition</w:t>
      </w:r>
      <w:r w:rsidRPr="00FB49ED">
        <w:rPr>
          <w:rFonts w:ascii="Times New Roman" w:hAnsi="Times New Roman" w:cs="Times New Roman"/>
          <w:sz w:val="24"/>
          <w:szCs w:val="24"/>
        </w:rPr>
        <w:t>. Washington, D.C.: National Academy Press.</w:t>
      </w:r>
    </w:p>
    <w:p w:rsidR="00325390" w:rsidRPr="00325390" w:rsidRDefault="00325390" w:rsidP="00FB49ED">
      <w:pPr>
        <w:spacing w:line="480" w:lineRule="auto"/>
        <w:ind w:left="720" w:hanging="720"/>
        <w:rPr>
          <w:rFonts w:ascii="Times New Roman" w:hAnsi="Times New Roman" w:cs="Times New Roman"/>
          <w:sz w:val="24"/>
          <w:szCs w:val="24"/>
        </w:rPr>
      </w:pPr>
      <w:r w:rsidRPr="00325390">
        <w:rPr>
          <w:rFonts w:ascii="Times New Roman" w:hAnsi="Times New Roman" w:cs="Times New Roman"/>
          <w:sz w:val="24"/>
          <w:szCs w:val="24"/>
        </w:rPr>
        <w:t>Gerber, B. L., Marek, E. A., and Cavallo, A. M. L. (2001). Development of an informal learning opportunities assay. International Journal of Science Education 23(6): 569–583.</w:t>
      </w:r>
    </w:p>
    <w:p w:rsidR="00FB49ED" w:rsidRDefault="00FB49ED" w:rsidP="0068699A">
      <w:pPr>
        <w:spacing w:line="480" w:lineRule="auto"/>
        <w:rPr>
          <w:rFonts w:ascii="Times New Roman" w:hAnsi="Times New Roman" w:cs="Times New Roman"/>
          <w:b/>
          <w:sz w:val="24"/>
          <w:szCs w:val="24"/>
        </w:rPr>
      </w:pPr>
    </w:p>
    <w:p w:rsidR="00627CB7" w:rsidRPr="00627CB7" w:rsidRDefault="00627CB7" w:rsidP="00A34A3E">
      <w:pPr>
        <w:spacing w:line="480" w:lineRule="auto"/>
        <w:rPr>
          <w:rFonts w:ascii="Times New Roman" w:hAnsi="Times New Roman" w:cs="Times New Roman"/>
          <w:b/>
          <w:sz w:val="24"/>
          <w:szCs w:val="24"/>
        </w:rPr>
      </w:pPr>
    </w:p>
    <w:p w:rsidR="00A34A3E" w:rsidRPr="00A34A3E" w:rsidRDefault="00A34A3E">
      <w:pPr>
        <w:rPr>
          <w:rFonts w:ascii="Times New Roman" w:hAnsi="Times New Roman" w:cs="Times New Roman"/>
          <w:sz w:val="24"/>
          <w:szCs w:val="24"/>
        </w:rPr>
      </w:pPr>
    </w:p>
    <w:sectPr w:rsidR="00A34A3E" w:rsidRPr="00A34A3E" w:rsidSect="00FB49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291" w:rsidRDefault="00851291" w:rsidP="00FB49ED">
      <w:pPr>
        <w:spacing w:after="0" w:line="240" w:lineRule="auto"/>
      </w:pPr>
      <w:r>
        <w:separator/>
      </w:r>
    </w:p>
  </w:endnote>
  <w:endnote w:type="continuationSeparator" w:id="0">
    <w:p w:rsidR="00851291" w:rsidRDefault="00851291" w:rsidP="00FB4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291" w:rsidRDefault="00851291" w:rsidP="00FB49ED">
      <w:pPr>
        <w:spacing w:after="0" w:line="240" w:lineRule="auto"/>
      </w:pPr>
      <w:r>
        <w:separator/>
      </w:r>
    </w:p>
  </w:footnote>
  <w:footnote w:type="continuationSeparator" w:id="0">
    <w:p w:rsidR="00851291" w:rsidRDefault="00851291" w:rsidP="00FB4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06424577"/>
      <w:docPartObj>
        <w:docPartGallery w:val="Page Numbers (Top of Page)"/>
        <w:docPartUnique/>
      </w:docPartObj>
    </w:sdtPr>
    <w:sdtEndPr>
      <w:rPr>
        <w:noProof/>
      </w:rPr>
    </w:sdtEndPr>
    <w:sdtContent>
      <w:p w:rsidR="00FB49ED" w:rsidRPr="00FB49ED" w:rsidRDefault="00FB49ED" w:rsidP="00FB49ED">
        <w:pPr>
          <w:pStyle w:val="Header"/>
          <w:spacing w:line="480" w:lineRule="auto"/>
          <w:jc w:val="right"/>
          <w:rPr>
            <w:rFonts w:ascii="Times New Roman" w:hAnsi="Times New Roman" w:cs="Times New Roman"/>
            <w:sz w:val="24"/>
            <w:szCs w:val="24"/>
          </w:rPr>
        </w:pPr>
        <w:r w:rsidRPr="00FB49ED">
          <w:rPr>
            <w:rFonts w:ascii="Times New Roman" w:hAnsi="Times New Roman" w:cs="Times New Roman"/>
            <w:sz w:val="24"/>
            <w:szCs w:val="24"/>
          </w:rPr>
          <w:t>LEARNING ENVIRONMENTS</w:t>
        </w:r>
        <w:r w:rsidRPr="00FB49ED">
          <w:rPr>
            <w:rFonts w:ascii="Times New Roman" w:hAnsi="Times New Roman" w:cs="Times New Roman"/>
            <w:sz w:val="24"/>
            <w:szCs w:val="24"/>
          </w:rPr>
          <w:tab/>
        </w:r>
        <w:r w:rsidRPr="00FB49ED">
          <w:rPr>
            <w:rFonts w:ascii="Times New Roman" w:hAnsi="Times New Roman" w:cs="Times New Roman"/>
            <w:sz w:val="24"/>
            <w:szCs w:val="24"/>
          </w:rPr>
          <w:tab/>
        </w:r>
        <w:r w:rsidRPr="00FB49ED">
          <w:rPr>
            <w:rFonts w:ascii="Times New Roman" w:hAnsi="Times New Roman" w:cs="Times New Roman"/>
            <w:sz w:val="24"/>
            <w:szCs w:val="24"/>
          </w:rPr>
          <w:fldChar w:fldCharType="begin"/>
        </w:r>
        <w:r w:rsidRPr="00FB49ED">
          <w:rPr>
            <w:rFonts w:ascii="Times New Roman" w:hAnsi="Times New Roman" w:cs="Times New Roman"/>
            <w:sz w:val="24"/>
            <w:szCs w:val="24"/>
          </w:rPr>
          <w:instrText xml:space="preserve"> PAGE   \* MERGEFORMAT </w:instrText>
        </w:r>
        <w:r w:rsidRPr="00FB49ED">
          <w:rPr>
            <w:rFonts w:ascii="Times New Roman" w:hAnsi="Times New Roman" w:cs="Times New Roman"/>
            <w:sz w:val="24"/>
            <w:szCs w:val="24"/>
          </w:rPr>
          <w:fldChar w:fldCharType="separate"/>
        </w:r>
        <w:r w:rsidR="004969D2">
          <w:rPr>
            <w:rFonts w:ascii="Times New Roman" w:hAnsi="Times New Roman" w:cs="Times New Roman"/>
            <w:noProof/>
            <w:sz w:val="24"/>
            <w:szCs w:val="24"/>
          </w:rPr>
          <w:t>7</w:t>
        </w:r>
        <w:r w:rsidRPr="00FB49ED">
          <w:rPr>
            <w:rFonts w:ascii="Times New Roman" w:hAnsi="Times New Roman" w:cs="Times New Roman"/>
            <w:noProof/>
            <w:sz w:val="24"/>
            <w:szCs w:val="24"/>
          </w:rPr>
          <w:fldChar w:fldCharType="end"/>
        </w:r>
      </w:p>
    </w:sdtContent>
  </w:sdt>
  <w:p w:rsidR="00FB49ED" w:rsidRPr="00FB49ED" w:rsidRDefault="00FB49ED" w:rsidP="00FB49E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9ED" w:rsidRPr="00FB49ED" w:rsidRDefault="00FB49ED" w:rsidP="00FB49ED">
    <w:pPr>
      <w:pStyle w:val="Header"/>
      <w:spacing w:line="480" w:lineRule="auto"/>
      <w:rPr>
        <w:rFonts w:ascii="Times New Roman" w:hAnsi="Times New Roman" w:cs="Times New Roman"/>
        <w:sz w:val="24"/>
        <w:szCs w:val="24"/>
      </w:rPr>
    </w:pPr>
    <w:r w:rsidRPr="00FB49ED">
      <w:rPr>
        <w:rFonts w:ascii="Times New Roman" w:hAnsi="Times New Roman" w:cs="Times New Roman"/>
        <w:sz w:val="24"/>
        <w:szCs w:val="24"/>
      </w:rPr>
      <w:t>Running head: LEARNING ENVIRONMENTS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0NjcyNLCwNDaxNDdT0lEKTi0uzszPAykwrgUAfcJoGCwAAAA="/>
  </w:docVars>
  <w:rsids>
    <w:rsidRoot w:val="00A34A3E"/>
    <w:rsid w:val="000656BD"/>
    <w:rsid w:val="001022F4"/>
    <w:rsid w:val="00102E69"/>
    <w:rsid w:val="001412BD"/>
    <w:rsid w:val="001A0DCE"/>
    <w:rsid w:val="00230C53"/>
    <w:rsid w:val="002717EA"/>
    <w:rsid w:val="00325390"/>
    <w:rsid w:val="003A7239"/>
    <w:rsid w:val="003C6880"/>
    <w:rsid w:val="004372D2"/>
    <w:rsid w:val="004969D2"/>
    <w:rsid w:val="004A2A96"/>
    <w:rsid w:val="004B043A"/>
    <w:rsid w:val="006276BD"/>
    <w:rsid w:val="00627CB7"/>
    <w:rsid w:val="00653824"/>
    <w:rsid w:val="0068699A"/>
    <w:rsid w:val="00687A4A"/>
    <w:rsid w:val="00692BA3"/>
    <w:rsid w:val="007F020A"/>
    <w:rsid w:val="007F1740"/>
    <w:rsid w:val="00851291"/>
    <w:rsid w:val="00866DD2"/>
    <w:rsid w:val="00964914"/>
    <w:rsid w:val="009B43D9"/>
    <w:rsid w:val="009D22E8"/>
    <w:rsid w:val="00A34A3E"/>
    <w:rsid w:val="00A8540B"/>
    <w:rsid w:val="00AA72BE"/>
    <w:rsid w:val="00AD30C5"/>
    <w:rsid w:val="00B74BCD"/>
    <w:rsid w:val="00BE2886"/>
    <w:rsid w:val="00C2261A"/>
    <w:rsid w:val="00D62D44"/>
    <w:rsid w:val="00DA631A"/>
    <w:rsid w:val="00FB4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6C2B5-F07E-4B0B-8606-69D513F6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9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9ED"/>
  </w:style>
  <w:style w:type="paragraph" w:styleId="Footer">
    <w:name w:val="footer"/>
    <w:basedOn w:val="Normal"/>
    <w:link w:val="FooterChar"/>
    <w:uiPriority w:val="99"/>
    <w:unhideWhenUsed/>
    <w:rsid w:val="00FB49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7</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2018-05-07T03:26:00Z</dcterms:created>
  <dcterms:modified xsi:type="dcterms:W3CDTF">2018-06-01T07:38:00Z</dcterms:modified>
</cp:coreProperties>
</file>